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362" w14:textId="1668869D" w:rsidR="00F74C13" w:rsidRPr="00F74C13" w:rsidRDefault="00F74C13" w:rsidP="00F74C13">
      <w:pPr>
        <w:rPr>
          <w:b/>
          <w:bCs/>
          <w:sz w:val="24"/>
          <w:szCs w:val="24"/>
        </w:rPr>
      </w:pPr>
      <w:r w:rsidRPr="00F74C13">
        <w:rPr>
          <w:b/>
          <w:bCs/>
          <w:sz w:val="24"/>
          <w:szCs w:val="24"/>
        </w:rPr>
        <w:t>ILYAD W LP18</w:t>
      </w:r>
    </w:p>
    <w:p w14:paraId="640ABF3C" w14:textId="1443C282" w:rsidR="00F74C13" w:rsidRPr="00F74C13" w:rsidRDefault="00F74C13" w:rsidP="00F74C13">
      <w:pPr>
        <w:rPr>
          <w:b/>
          <w:bCs/>
          <w:sz w:val="24"/>
          <w:szCs w:val="24"/>
        </w:rPr>
      </w:pPr>
      <w:r w:rsidRPr="00F74C13">
        <w:rPr>
          <w:b/>
          <w:bCs/>
          <w:sz w:val="24"/>
          <w:szCs w:val="24"/>
        </w:rPr>
        <w:t xml:space="preserve">Projecteur d’intérieur pour éclairage mural équipé d’une </w:t>
      </w:r>
      <w:proofErr w:type="spellStart"/>
      <w:r w:rsidRPr="00F74C13">
        <w:rPr>
          <w:b/>
          <w:bCs/>
          <w:sz w:val="24"/>
          <w:szCs w:val="24"/>
        </w:rPr>
        <w:t>led</w:t>
      </w:r>
      <w:proofErr w:type="spellEnd"/>
      <w:r w:rsidRPr="00F74C13">
        <w:rPr>
          <w:b/>
          <w:bCs/>
          <w:sz w:val="24"/>
          <w:szCs w:val="24"/>
        </w:rPr>
        <w:t xml:space="preserve"> haute puissance de 18W.         IRC 97, R9&gt; 90 SDCM2. Maintien flux lumineux L80B10, 95 000 heures de fonctionnement. Potentiomètre/Phase/DALI 2 </w:t>
      </w:r>
      <w:proofErr w:type="spellStart"/>
      <w:r w:rsidRPr="00F74C13">
        <w:rPr>
          <w:b/>
          <w:bCs/>
          <w:sz w:val="24"/>
          <w:szCs w:val="24"/>
        </w:rPr>
        <w:t>Casambi</w:t>
      </w:r>
      <w:proofErr w:type="spellEnd"/>
      <w:r w:rsidRPr="00F74C13">
        <w:rPr>
          <w:b/>
          <w:bCs/>
          <w:sz w:val="24"/>
          <w:szCs w:val="24"/>
        </w:rPr>
        <w:t>/</w:t>
      </w:r>
      <w:proofErr w:type="spellStart"/>
      <w:r w:rsidRPr="00F74C13">
        <w:rPr>
          <w:b/>
          <w:bCs/>
          <w:sz w:val="24"/>
          <w:szCs w:val="24"/>
        </w:rPr>
        <w:t>Casambi+Potentiomètre</w:t>
      </w:r>
      <w:proofErr w:type="spellEnd"/>
      <w:r w:rsidRPr="00F74C13">
        <w:rPr>
          <w:b/>
          <w:bCs/>
          <w:sz w:val="24"/>
          <w:szCs w:val="24"/>
        </w:rPr>
        <w:t>. Réflecteur en Polycarbonate Fixations sur adaptateur pour rail, crochet, patère ou équerre murale. Inclinaison 146°. Azimut 360°. Maintien des positions par friction et blocage par vis. 1,2</w:t>
      </w:r>
      <w:r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F74C13">
        <w:rPr>
          <w:b/>
          <w:bCs/>
          <w:sz w:val="24"/>
          <w:szCs w:val="24"/>
        </w:rPr>
        <w:t>kg. Garantie 5 ans.</w:t>
      </w:r>
    </w:p>
    <w:p w14:paraId="7C8F222F" w14:textId="0020AE2C" w:rsidR="00D00B0D" w:rsidRPr="00F74C13" w:rsidRDefault="00D00B0D" w:rsidP="00F74C13"/>
    <w:sectPr w:rsidR="00D00B0D" w:rsidRPr="00F74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390A1F"/>
    <w:rsid w:val="00392D0B"/>
    <w:rsid w:val="003B6230"/>
    <w:rsid w:val="003C0B5E"/>
    <w:rsid w:val="00546851"/>
    <w:rsid w:val="00591F78"/>
    <w:rsid w:val="005E4F8C"/>
    <w:rsid w:val="00643667"/>
    <w:rsid w:val="00664A84"/>
    <w:rsid w:val="00713585"/>
    <w:rsid w:val="007224D1"/>
    <w:rsid w:val="00752171"/>
    <w:rsid w:val="007A7987"/>
    <w:rsid w:val="007F7EA4"/>
    <w:rsid w:val="00855DD7"/>
    <w:rsid w:val="00A9238C"/>
    <w:rsid w:val="00AB741C"/>
    <w:rsid w:val="00AC74FC"/>
    <w:rsid w:val="00B73EF4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2</cp:revision>
  <dcterms:created xsi:type="dcterms:W3CDTF">2022-11-04T11:16:00Z</dcterms:created>
  <dcterms:modified xsi:type="dcterms:W3CDTF">2022-11-04T11:16:00Z</dcterms:modified>
</cp:coreProperties>
</file>